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78" w:beforeLines="25" w:after="78" w:afterLines="25" w:line="312" w:lineRule="auto"/>
        <w:rPr>
          <w:rFonts w:eastAsia="幼圆"/>
          <w:b/>
          <w:sz w:val="32"/>
          <w:szCs w:val="32"/>
        </w:rPr>
      </w:pPr>
      <w:r>
        <w:rPr>
          <w:rFonts w:hint="eastAsia" w:ascii="黑体" w:hAnsi="黑体" w:eastAsia="黑体" w:cs="黑体"/>
          <w:b/>
          <w:sz w:val="30"/>
          <w:szCs w:val="30"/>
        </w:rPr>
        <w:t>案例使用说明</w:t>
      </w:r>
      <w:r>
        <w:rPr>
          <w:rFonts w:hint="eastAsia" w:eastAsia="幼圆"/>
          <w:b/>
          <w:sz w:val="30"/>
          <w:szCs w:val="30"/>
        </w:rPr>
        <w:t>：</w:t>
      </w:r>
      <w:r>
        <w:rPr>
          <w:rFonts w:hAnsi="宋体"/>
          <w:color w:val="0000FF"/>
          <w:sz w:val="24"/>
        </w:rPr>
        <w:t>（</w:t>
      </w:r>
      <w:r>
        <w:rPr>
          <w:rFonts w:hint="eastAsia" w:hAnsi="宋体"/>
          <w:color w:val="0000FF"/>
          <w:sz w:val="24"/>
          <w:lang w:val="zh-CN"/>
        </w:rPr>
        <w:t>黑体</w:t>
      </w:r>
      <w:r>
        <w:rPr>
          <w:rFonts w:hAnsi="宋体"/>
          <w:color w:val="0000FF"/>
          <w:sz w:val="24"/>
          <w:lang w:val="zh-CN"/>
        </w:rPr>
        <w:t>、加粗、小三</w:t>
      </w:r>
      <w:r>
        <w:rPr>
          <w:rFonts w:hAnsi="宋体"/>
          <w:color w:val="0000FF"/>
          <w:sz w:val="24"/>
        </w:rPr>
        <w:t>）</w:t>
      </w:r>
      <w:r>
        <w:rPr>
          <w:rFonts w:hAnsi="宋体"/>
          <w:color w:val="FF0000"/>
          <w:sz w:val="24"/>
        </w:rPr>
        <w:t>（全文段前与段后</w:t>
      </w:r>
      <w:r>
        <w:rPr>
          <w:color w:val="FF0000"/>
          <w:sz w:val="24"/>
        </w:rPr>
        <w:t>0.25</w:t>
      </w:r>
      <w:r>
        <w:rPr>
          <w:rFonts w:hAnsi="宋体"/>
          <w:color w:val="FF0000"/>
          <w:sz w:val="24"/>
        </w:rPr>
        <w:t>行、多倍行距</w:t>
      </w:r>
      <w:r>
        <w:rPr>
          <w:color w:val="FF0000"/>
          <w:sz w:val="24"/>
        </w:rPr>
        <w:t>1.3</w:t>
      </w:r>
      <w:r>
        <w:rPr>
          <w:rFonts w:hint="eastAsia"/>
          <w:color w:val="FF0000"/>
          <w:sz w:val="24"/>
        </w:rPr>
        <w:t>、全文为Times New Roman</w:t>
      </w:r>
      <w:r>
        <w:rPr>
          <w:rFonts w:hAnsi="宋体"/>
          <w:color w:val="FF0000"/>
          <w:sz w:val="24"/>
        </w:rPr>
        <w:t>）</w:t>
      </w:r>
    </w:p>
    <w:p>
      <w:pPr>
        <w:spacing w:before="78" w:beforeLines="25" w:after="78" w:afterLines="25" w:line="312" w:lineRule="auto"/>
        <w:jc w:val="center"/>
        <w:rPr>
          <w:color w:val="0000FF"/>
          <w:sz w:val="24"/>
          <w:lang w:val="zh-CN"/>
        </w:rPr>
      </w:pPr>
      <w:r>
        <w:rPr>
          <w:rFonts w:hint="eastAsia" w:ascii="黑体" w:hAnsi="黑体" w:eastAsia="黑体" w:cs="黑体"/>
          <w:b/>
          <w:sz w:val="30"/>
          <w:szCs w:val="30"/>
          <w:lang w:val="zh-CN"/>
        </w:rPr>
        <w:t>案例名称</w:t>
      </w:r>
      <w:r>
        <w:rPr>
          <w:rFonts w:hAnsi="宋体"/>
          <w:color w:val="0000FF"/>
          <w:sz w:val="24"/>
          <w:lang w:val="zh-CN"/>
        </w:rPr>
        <w:t>（</w:t>
      </w:r>
      <w:r>
        <w:rPr>
          <w:rFonts w:hint="eastAsia" w:hAnsi="宋体"/>
          <w:color w:val="0000FF"/>
          <w:sz w:val="24"/>
          <w:lang w:val="zh-CN"/>
        </w:rPr>
        <w:t>黑体</w:t>
      </w:r>
      <w:r>
        <w:rPr>
          <w:rFonts w:hAnsi="宋体"/>
          <w:color w:val="0000FF"/>
          <w:sz w:val="24"/>
          <w:lang w:val="zh-CN"/>
        </w:rPr>
        <w:t>、加粗、三号）</w:t>
      </w:r>
    </w:p>
    <w:p>
      <w:pPr>
        <w:spacing w:before="78" w:beforeLines="25" w:after="78" w:afterLines="25" w:line="312" w:lineRule="auto"/>
        <w:rPr>
          <w:color w:val="FF0000"/>
          <w:sz w:val="24"/>
        </w:rPr>
      </w:pPr>
      <w:r>
        <w:rPr>
          <w:rFonts w:hAnsi="宋体"/>
          <w:color w:val="0000FF"/>
          <w:sz w:val="24"/>
          <w:lang w:val="zh-CN"/>
        </w:rPr>
        <w:t>（空格键、小四）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="79" w:afterLines="25" w:afterAutospacing="0" w:line="312" w:lineRule="auto"/>
        <w:textAlignment w:val="auto"/>
        <w:rPr>
          <w:b/>
          <w:sz w:val="24"/>
        </w:rPr>
      </w:pPr>
      <w:r>
        <w:rPr>
          <w:b/>
          <w:sz w:val="24"/>
        </w:rPr>
        <w:t>一、教学目的与用途</w:t>
      </w:r>
      <w:r>
        <w:rPr>
          <w:rFonts w:hAnsi="宋体"/>
          <w:color w:val="0000FF"/>
          <w:sz w:val="24"/>
          <w:lang w:val="zh-CN"/>
        </w:rPr>
        <w:t>（宋体、加粗、小四）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sz w:val="24"/>
        </w:rPr>
      </w:pPr>
      <w:r>
        <w:rPr>
          <w:sz w:val="24"/>
        </w:rPr>
        <w:t>1．本案例主要适用于</w:t>
      </w:r>
      <w:r>
        <w:rPr>
          <w:rFonts w:hint="eastAsia"/>
          <w:sz w:val="24"/>
          <w:lang w:eastAsia="zh-CN"/>
        </w:rPr>
        <w:t>本科生</w:t>
      </w:r>
      <w:r>
        <w:rPr>
          <w:sz w:val="24"/>
        </w:rPr>
        <w:t>课程</w:t>
      </w:r>
      <w:r>
        <w:rPr>
          <w:rFonts w:hint="eastAsia"/>
          <w:sz w:val="24"/>
          <w:lang w:eastAsia="zh-CN"/>
        </w:rPr>
        <w:t>的</w:t>
      </w:r>
      <w:r>
        <w:rPr>
          <w:rFonts w:hint="eastAsia"/>
          <w:sz w:val="24"/>
          <w:lang w:val="en-US" w:eastAsia="zh-CN"/>
        </w:rPr>
        <w:t>xxx课程</w:t>
      </w:r>
      <w:bookmarkStart w:id="0" w:name="_GoBack"/>
      <w:bookmarkEnd w:id="0"/>
      <w:r>
        <w:rPr>
          <w:sz w:val="24"/>
        </w:rPr>
        <w:t>，也适用于</w:t>
      </w:r>
      <w:r>
        <w:rPr>
          <w:rFonts w:hint="eastAsia"/>
          <w:sz w:val="24"/>
          <w:lang w:val="en-US" w:eastAsia="zh-CN"/>
        </w:rPr>
        <w:t>MBA课程中的</w:t>
      </w:r>
      <w:r>
        <w:rPr>
          <w:sz w:val="24"/>
        </w:rPr>
        <w:t>***</w:t>
      </w:r>
      <w:r>
        <w:rPr>
          <w:rFonts w:hint="eastAsia"/>
          <w:sz w:val="24"/>
          <w:lang w:eastAsia="zh-CN"/>
        </w:rPr>
        <w:t>课程</w:t>
      </w:r>
      <w:r>
        <w:rPr>
          <w:sz w:val="24"/>
        </w:rPr>
        <w:t>。</w:t>
      </w:r>
      <w:r>
        <w:rPr>
          <w:rFonts w:hAnsi="宋体"/>
          <w:color w:val="0000FF"/>
          <w:sz w:val="24"/>
          <w:lang w:val="zh-CN"/>
        </w:rPr>
        <w:t>（宋体、小四）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sz w:val="24"/>
        </w:rPr>
      </w:pPr>
      <w:r>
        <w:rPr>
          <w:sz w:val="24"/>
        </w:rPr>
        <w:t>2．本案例的教学目的.......</w:t>
      </w:r>
    </w:p>
    <w:p>
      <w:pPr>
        <w:adjustRightInd w:val="0"/>
        <w:snapToGrid w:val="0"/>
        <w:spacing w:before="78" w:beforeLines="25" w:after="78" w:afterLines="25" w:line="312" w:lineRule="auto"/>
        <w:rPr>
          <w:b/>
          <w:sz w:val="24"/>
        </w:rPr>
      </w:pPr>
      <w:r>
        <w:rPr>
          <w:rFonts w:hAnsi="宋体"/>
          <w:color w:val="0000FF"/>
          <w:sz w:val="24"/>
          <w:lang w:val="zh-CN"/>
        </w:rPr>
        <w:t>（空格键、小四）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="79" w:afterLines="25" w:afterAutospacing="0" w:line="312" w:lineRule="auto"/>
        <w:textAlignment w:val="auto"/>
        <w:rPr>
          <w:b/>
          <w:sz w:val="24"/>
        </w:rPr>
      </w:pPr>
      <w:r>
        <w:rPr>
          <w:b/>
          <w:sz w:val="24"/>
        </w:rPr>
        <w:t>二、</w:t>
      </w:r>
      <w:r>
        <w:rPr>
          <w:rFonts w:hint="eastAsia"/>
          <w:b/>
          <w:sz w:val="24"/>
          <w:lang w:eastAsia="zh-CN"/>
        </w:rPr>
        <w:t>案例</w:t>
      </w:r>
      <w:r>
        <w:rPr>
          <w:b/>
          <w:sz w:val="24"/>
        </w:rPr>
        <w:t>思考题</w:t>
      </w:r>
      <w:r>
        <w:rPr>
          <w:rFonts w:hAnsi="宋体"/>
          <w:color w:val="0000FF"/>
          <w:sz w:val="24"/>
          <w:lang w:val="zh-CN"/>
        </w:rPr>
        <w:t>（宋体、加粗、小四）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sz w:val="24"/>
        </w:rPr>
      </w:pPr>
      <w:r>
        <w:rPr>
          <w:sz w:val="24"/>
        </w:rPr>
        <w:t>1．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rFonts w:hint="eastAsia"/>
          <w:sz w:val="24"/>
        </w:rPr>
      </w:pPr>
      <w:r>
        <w:rPr>
          <w:sz w:val="24"/>
        </w:rPr>
        <w:t>2．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sz w:val="24"/>
        </w:rPr>
      </w:pPr>
      <w:r>
        <w:rPr>
          <w:sz w:val="24"/>
        </w:rPr>
        <w:t>3．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sz w:val="24"/>
        </w:rPr>
      </w:pPr>
      <w:r>
        <w:rPr>
          <w:sz w:val="24"/>
        </w:rPr>
        <w:t>4</w:t>
      </w:r>
      <w:r>
        <w:rPr>
          <w:rFonts w:hint="eastAsia"/>
          <w:sz w:val="24"/>
        </w:rPr>
        <w:t>．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sz w:val="24"/>
        </w:rPr>
      </w:pPr>
      <w:r>
        <w:rPr>
          <w:sz w:val="24"/>
        </w:rPr>
        <w:t>5．</w:t>
      </w:r>
    </w:p>
    <w:p>
      <w:pPr>
        <w:adjustRightInd w:val="0"/>
        <w:snapToGrid w:val="0"/>
        <w:spacing w:before="78" w:beforeLines="25" w:after="78" w:afterLines="25" w:line="312" w:lineRule="auto"/>
        <w:rPr>
          <w:b/>
          <w:sz w:val="24"/>
        </w:rPr>
      </w:pPr>
      <w:r>
        <w:rPr>
          <w:rFonts w:hAnsi="宋体"/>
          <w:color w:val="0000FF"/>
          <w:sz w:val="24"/>
          <w:lang w:val="zh-CN"/>
        </w:rPr>
        <w:t>（空格键、小四）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="79" w:afterLines="25" w:afterAutospacing="0" w:line="312" w:lineRule="auto"/>
        <w:textAlignment w:val="auto"/>
        <w:rPr>
          <w:rFonts w:hAnsi="宋体"/>
          <w:color w:val="0000FF"/>
          <w:sz w:val="24"/>
          <w:lang w:val="zh-CN"/>
        </w:rPr>
      </w:pPr>
      <w:r>
        <w:rPr>
          <w:b/>
          <w:sz w:val="24"/>
        </w:rPr>
        <w:t>三、分析思路</w:t>
      </w:r>
      <w:r>
        <w:rPr>
          <w:rFonts w:hAnsi="宋体"/>
          <w:color w:val="0000FF"/>
          <w:sz w:val="24"/>
          <w:lang w:val="zh-CN"/>
        </w:rPr>
        <w:t>（宋体、加粗、小四）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  <w:r>
        <w:rPr>
          <w:sz w:val="24"/>
        </w:rPr>
        <w:t>教师可以根据自己的教学目标（目的）来灵活使用本案例。这里提出本案例的分析思路，仅供参考。</w:t>
      </w:r>
      <w:r>
        <w:rPr>
          <w:rFonts w:hAnsi="宋体"/>
          <w:color w:val="0000FF"/>
          <w:sz w:val="24"/>
          <w:lang w:val="zh-CN"/>
        </w:rPr>
        <w:t>（宋体、小四）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．从</w:t>
      </w:r>
      <w:r>
        <w:rPr>
          <w:sz w:val="24"/>
        </w:rPr>
        <w:t>....</w:t>
      </w:r>
      <w:r>
        <w:rPr>
          <w:rFonts w:hAnsi="宋体"/>
          <w:sz w:val="24"/>
        </w:rPr>
        <w:t>管理的角度思考</w:t>
      </w:r>
      <w:r>
        <w:rPr>
          <w:sz w:val="24"/>
        </w:rPr>
        <w:t>.......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．寻找内在的原因</w:t>
      </w:r>
      <w:r>
        <w:rPr>
          <w:sz w:val="24"/>
        </w:rPr>
        <w:t>......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  <w:r>
        <w:rPr>
          <w:sz w:val="24"/>
        </w:rPr>
        <w:t>3</w:t>
      </w:r>
      <w:r>
        <w:rPr>
          <w:rFonts w:hAnsi="宋体"/>
          <w:sz w:val="24"/>
        </w:rPr>
        <w:t>．从</w:t>
      </w:r>
      <w:r>
        <w:rPr>
          <w:sz w:val="24"/>
        </w:rPr>
        <w:t>....</w:t>
      </w:r>
      <w:r>
        <w:rPr>
          <w:rFonts w:hAnsi="宋体"/>
          <w:sz w:val="24"/>
        </w:rPr>
        <w:t>角度解读</w:t>
      </w:r>
      <w:r>
        <w:rPr>
          <w:sz w:val="24"/>
        </w:rPr>
        <w:t>......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  <w:r>
        <w:rPr>
          <w:sz w:val="24"/>
        </w:rPr>
        <w:t>4</w:t>
      </w:r>
      <w:r>
        <w:rPr>
          <w:rFonts w:hAnsi="宋体"/>
          <w:sz w:val="24"/>
        </w:rPr>
        <w:t>．</w:t>
      </w:r>
      <w:r>
        <w:rPr>
          <w:sz w:val="24"/>
        </w:rPr>
        <w:t>....</w:t>
      </w:r>
      <w:r>
        <w:rPr>
          <w:rFonts w:hAnsi="宋体"/>
          <w:sz w:val="24"/>
        </w:rPr>
        <w:t>也是</w:t>
      </w:r>
      <w:r>
        <w:rPr>
          <w:sz w:val="24"/>
        </w:rPr>
        <w:t>....</w:t>
      </w:r>
      <w:r>
        <w:rPr>
          <w:rFonts w:hAnsi="宋体"/>
          <w:sz w:val="24"/>
        </w:rPr>
        <w:t>原因。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  <w:r>
        <w:rPr>
          <w:sz w:val="24"/>
        </w:rPr>
        <w:t>5</w:t>
      </w:r>
      <w:r>
        <w:rPr>
          <w:rFonts w:hAnsi="宋体"/>
          <w:sz w:val="24"/>
        </w:rPr>
        <w:t>．解决</w:t>
      </w:r>
      <w:r>
        <w:rPr>
          <w:sz w:val="24"/>
        </w:rPr>
        <w:t>......</w:t>
      </w:r>
      <w:r>
        <w:rPr>
          <w:rFonts w:hAnsi="宋体"/>
          <w:sz w:val="24"/>
        </w:rPr>
        <w:t>问题的思路在于</w:t>
      </w:r>
      <w:r>
        <w:rPr>
          <w:sz w:val="24"/>
        </w:rPr>
        <w:t>......</w:t>
      </w:r>
    </w:p>
    <w:p>
      <w:pPr>
        <w:adjustRightInd w:val="0"/>
        <w:snapToGrid w:val="0"/>
        <w:spacing w:before="78" w:beforeLines="25" w:after="78" w:afterLines="25" w:line="312" w:lineRule="auto"/>
        <w:rPr>
          <w:rFonts w:hAnsi="宋体"/>
          <w:color w:val="0000FF"/>
          <w:sz w:val="24"/>
          <w:lang w:val="zh-CN"/>
        </w:rPr>
      </w:pPr>
      <w:r>
        <w:rPr>
          <w:rFonts w:hAnsi="宋体"/>
          <w:color w:val="0000FF"/>
          <w:sz w:val="24"/>
          <w:lang w:val="zh-CN"/>
        </w:rPr>
        <w:t>（空格键、小四）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="79" w:afterLines="25" w:afterAutospacing="0" w:line="312" w:lineRule="auto"/>
        <w:textAlignment w:val="auto"/>
        <w:rPr>
          <w:b/>
          <w:sz w:val="24"/>
        </w:rPr>
      </w:pPr>
      <w:r>
        <w:rPr>
          <w:b/>
          <w:sz w:val="24"/>
        </w:rPr>
        <w:t>四、理论依据及分析</w:t>
      </w:r>
      <w:r>
        <w:rPr>
          <w:rFonts w:hAnsi="宋体"/>
          <w:color w:val="0000FF"/>
          <w:sz w:val="24"/>
          <w:lang w:val="zh-CN"/>
        </w:rPr>
        <w:t>（宋体、加粗、小四）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rFonts w:hint="eastAsia" w:hAnsi="宋体"/>
          <w:color w:val="0000FF"/>
          <w:sz w:val="24"/>
          <w:lang w:val="zh-CN"/>
        </w:rPr>
      </w:pPr>
      <w:r>
        <w:rPr>
          <w:sz w:val="24"/>
        </w:rPr>
        <w:t>1</w:t>
      </w:r>
      <w:r>
        <w:rPr>
          <w:rFonts w:hAnsi="宋体"/>
          <w:sz w:val="24"/>
        </w:rPr>
        <w:t>．</w:t>
      </w:r>
      <w:r>
        <w:rPr>
          <w:rFonts w:hint="eastAsia" w:hAnsi="宋体"/>
          <w:sz w:val="24"/>
        </w:rPr>
        <w:t>创业机会识别的概念，以及创业阶段的划分</w:t>
      </w:r>
      <w:r>
        <w:rPr>
          <w:rFonts w:hAnsi="宋体"/>
          <w:color w:val="0000FF"/>
          <w:sz w:val="24"/>
          <w:lang w:val="zh-CN"/>
        </w:rPr>
        <w:t>（宋体、小四）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  <w:r>
        <w:rPr>
          <w:rFonts w:hint="eastAsia" w:hAnsi="宋体"/>
          <w:sz w:val="24"/>
          <w:lang w:val="zh-CN"/>
        </w:rPr>
        <w:t>案例分析：***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rFonts w:hint="eastAsia" w:hAnsi="宋体"/>
          <w:color w:val="0000FF"/>
          <w:sz w:val="24"/>
          <w:lang w:val="zh-CN"/>
        </w:rPr>
      </w:pPr>
      <w:r>
        <w:rPr>
          <w:rFonts w:hint="eastAsia"/>
          <w:sz w:val="24"/>
        </w:rPr>
        <w:t>2</w:t>
      </w:r>
      <w:r>
        <w:rPr>
          <w:rFonts w:hAnsi="宋体"/>
          <w:sz w:val="24"/>
        </w:rPr>
        <w:t>．</w:t>
      </w:r>
      <w:r>
        <w:rPr>
          <w:rFonts w:hint="eastAsia"/>
          <w:sz w:val="24"/>
        </w:rPr>
        <w:t xml:space="preserve">创业机会识别的影响因素： </w:t>
      </w:r>
      <w:r>
        <w:rPr>
          <w:rFonts w:hAnsi="宋体"/>
          <w:color w:val="0000FF"/>
          <w:sz w:val="24"/>
          <w:lang w:val="zh-CN"/>
        </w:rPr>
        <w:t>（宋体、小四）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  <w:r>
        <w:rPr>
          <w:rFonts w:hint="eastAsia" w:hAnsi="宋体"/>
          <w:sz w:val="24"/>
          <w:lang w:val="zh-CN"/>
        </w:rPr>
        <w:t>案例分析：***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rFonts w:hAnsi="宋体"/>
          <w:sz w:val="2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="79" w:afterLines="25" w:afterAutospacing="0" w:line="312" w:lineRule="auto"/>
        <w:textAlignment w:val="auto"/>
        <w:rPr>
          <w:b/>
          <w:sz w:val="24"/>
        </w:rPr>
      </w:pPr>
      <w:r>
        <w:rPr>
          <w:b/>
          <w:sz w:val="24"/>
        </w:rPr>
        <w:t>五、背景信息</w:t>
      </w:r>
      <w:r>
        <w:rPr>
          <w:rFonts w:hAnsi="宋体"/>
          <w:color w:val="0000FF"/>
          <w:sz w:val="24"/>
        </w:rPr>
        <w:t>（</w:t>
      </w:r>
      <w:r>
        <w:rPr>
          <w:rFonts w:hAnsi="宋体"/>
          <w:color w:val="0000FF"/>
          <w:sz w:val="24"/>
          <w:lang w:val="zh-CN"/>
        </w:rPr>
        <w:t>宋体、加粗、小四</w:t>
      </w:r>
      <w:r>
        <w:rPr>
          <w:rFonts w:hAnsi="宋体"/>
          <w:color w:val="0000FF"/>
          <w:sz w:val="24"/>
        </w:rPr>
        <w:t>）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  <w:r>
        <w:rPr>
          <w:sz w:val="24"/>
        </w:rPr>
        <w:t>1</w:t>
      </w:r>
      <w:r>
        <w:rPr>
          <w:rFonts w:hAnsi="宋体"/>
          <w:sz w:val="24"/>
        </w:rPr>
        <w:t>．关于</w:t>
      </w:r>
      <w:r>
        <w:rPr>
          <w:sz w:val="24"/>
        </w:rPr>
        <w:t>**</w:t>
      </w:r>
      <w:r>
        <w:rPr>
          <w:rFonts w:hAnsi="宋体"/>
          <w:sz w:val="24"/>
        </w:rPr>
        <w:t>公司的薪酬信息</w:t>
      </w:r>
      <w:r>
        <w:rPr>
          <w:sz w:val="24"/>
        </w:rPr>
        <w:t xml:space="preserve">..... </w:t>
      </w:r>
      <w:r>
        <w:rPr>
          <w:rFonts w:hAnsi="宋体"/>
          <w:color w:val="0000FF"/>
          <w:sz w:val="24"/>
          <w:lang w:val="zh-CN"/>
        </w:rPr>
        <w:t>（宋体、小四）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 w:firstLineChars="200"/>
        <w:rPr>
          <w:b/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．后来发生的情况</w:t>
      </w:r>
      <w:r>
        <w:rPr>
          <w:sz w:val="24"/>
        </w:rPr>
        <w:t>.....</w:t>
      </w:r>
    </w:p>
    <w:p>
      <w:pPr>
        <w:adjustRightInd w:val="0"/>
        <w:snapToGrid w:val="0"/>
        <w:spacing w:before="78" w:beforeLines="25" w:after="78" w:afterLines="25" w:line="312" w:lineRule="auto"/>
        <w:rPr>
          <w:b/>
          <w:sz w:val="24"/>
        </w:rPr>
      </w:pPr>
      <w:r>
        <w:rPr>
          <w:rFonts w:hAnsi="宋体"/>
          <w:color w:val="0000FF"/>
          <w:sz w:val="24"/>
          <w:lang w:val="zh-CN"/>
        </w:rPr>
        <w:t>（空格键、小四）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="79" w:afterLines="25" w:afterAutospacing="0" w:line="312" w:lineRule="auto"/>
        <w:textAlignment w:val="auto"/>
        <w:rPr>
          <w:b/>
          <w:sz w:val="24"/>
        </w:rPr>
      </w:pPr>
      <w:r>
        <w:rPr>
          <w:b/>
          <w:sz w:val="24"/>
        </w:rPr>
        <w:t>六、关键要点</w:t>
      </w:r>
      <w:r>
        <w:rPr>
          <w:rFonts w:hAnsi="宋体"/>
          <w:color w:val="0000FF"/>
          <w:sz w:val="24"/>
          <w:lang w:val="zh-CN"/>
        </w:rPr>
        <w:t>（宋体、加粗、小四）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color w:val="0000FF"/>
          <w:sz w:val="24"/>
          <w:lang w:val="zh-CN"/>
        </w:rPr>
      </w:pPr>
      <w:r>
        <w:rPr>
          <w:sz w:val="24"/>
        </w:rPr>
        <w:t>1</w:t>
      </w:r>
      <w:r>
        <w:rPr>
          <w:rFonts w:hAnsi="宋体"/>
          <w:sz w:val="24"/>
        </w:rPr>
        <w:t>．</w:t>
      </w:r>
      <w:r>
        <w:rPr>
          <w:sz w:val="24"/>
        </w:rPr>
        <w:t>……</w:t>
      </w:r>
      <w:r>
        <w:rPr>
          <w:rFonts w:hAnsi="宋体"/>
          <w:sz w:val="24"/>
        </w:rPr>
        <w:t>才是解决问题的根本。在案例分析中，这是一个</w:t>
      </w:r>
      <w:r>
        <w:rPr>
          <w:rFonts w:hAnsi="宋体"/>
          <w:color w:val="0000FF"/>
          <w:sz w:val="24"/>
          <w:lang w:val="zh-CN"/>
        </w:rPr>
        <w:t>（宋体、小四）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  <w:r>
        <w:rPr>
          <w:sz w:val="24"/>
        </w:rPr>
        <w:t>2</w:t>
      </w:r>
      <w:r>
        <w:rPr>
          <w:rFonts w:hAnsi="宋体"/>
          <w:sz w:val="24"/>
        </w:rPr>
        <w:t>．解决问题的必须</w:t>
      </w:r>
      <w:r>
        <w:rPr>
          <w:sz w:val="24"/>
        </w:rPr>
        <w:t>......</w:t>
      </w:r>
    </w:p>
    <w:p>
      <w:pPr>
        <w:adjustRightInd w:val="0"/>
        <w:snapToGrid w:val="0"/>
        <w:spacing w:before="78" w:beforeLines="25" w:after="78" w:afterLines="25" w:line="312" w:lineRule="auto"/>
        <w:rPr>
          <w:b/>
          <w:sz w:val="24"/>
        </w:rPr>
      </w:pPr>
      <w:r>
        <w:rPr>
          <w:rFonts w:hAnsi="宋体"/>
          <w:color w:val="0000FF"/>
          <w:sz w:val="24"/>
          <w:lang w:val="zh-CN"/>
        </w:rPr>
        <w:t>（空格键、小四）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="79" w:afterLines="25" w:afterAutospacing="0" w:line="312" w:lineRule="auto"/>
        <w:textAlignment w:val="auto"/>
        <w:rPr>
          <w:b/>
          <w:sz w:val="24"/>
        </w:rPr>
      </w:pPr>
      <w:r>
        <w:rPr>
          <w:b/>
          <w:sz w:val="24"/>
        </w:rPr>
        <w:t>七、建议课堂计划</w:t>
      </w:r>
      <w:r>
        <w:rPr>
          <w:rFonts w:hAnsi="宋体"/>
          <w:color w:val="0000FF"/>
          <w:sz w:val="24"/>
          <w:lang w:val="zh-CN"/>
        </w:rPr>
        <w:t>（宋体、加粗、小四）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rFonts w:hAnsi="宋体"/>
          <w:color w:val="0000FF"/>
          <w:sz w:val="24"/>
          <w:lang w:val="zh-CN"/>
        </w:rPr>
      </w:pPr>
      <w:r>
        <w:rPr>
          <w:sz w:val="24"/>
        </w:rPr>
        <w:t>本案例可以作为专门的案例讨论课来进行。如下是按照时间进度提供的课堂计划建议，仅供参考。</w:t>
      </w:r>
      <w:r>
        <w:rPr>
          <w:rFonts w:hAnsi="宋体"/>
          <w:color w:val="0000FF"/>
          <w:sz w:val="24"/>
          <w:lang w:val="zh-CN"/>
        </w:rPr>
        <w:t>（宋体、小四）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="79" w:afterLines="25" w:afterAutospacing="0" w:line="312" w:lineRule="auto"/>
        <w:textAlignment w:val="auto"/>
        <w:rPr>
          <w:color w:val="0000FF"/>
          <w:sz w:val="24"/>
          <w:lang w:val="zh-CN"/>
        </w:rPr>
      </w:pPr>
      <w:r>
        <w:rPr>
          <w:rFonts w:hint="eastAsia"/>
          <w:b/>
          <w:sz w:val="24"/>
          <w:lang w:val="en-US" w:eastAsia="zh-CN"/>
        </w:rPr>
        <w:t>八</w:t>
      </w:r>
      <w:r>
        <w:rPr>
          <w:b/>
          <w:sz w:val="24"/>
        </w:rPr>
        <w:t>、相关附件</w:t>
      </w:r>
      <w:r>
        <w:rPr>
          <w:rFonts w:hAnsi="宋体"/>
          <w:color w:val="0000FF"/>
          <w:sz w:val="24"/>
          <w:lang w:val="zh-CN"/>
        </w:rPr>
        <w:t>（宋体、加粗、小四）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  <w:r>
        <w:rPr>
          <w:rFonts w:hAnsi="宋体"/>
          <w:sz w:val="24"/>
        </w:rPr>
        <w:t>本案例</w:t>
      </w:r>
      <w:r>
        <w:rPr>
          <w:rFonts w:hint="eastAsia" w:hAnsi="宋体"/>
          <w:sz w:val="24"/>
          <w:lang w:val="en-US" w:eastAsia="zh-CN"/>
        </w:rPr>
        <w:t>说明</w:t>
      </w:r>
      <w:r>
        <w:rPr>
          <w:rFonts w:hAnsi="宋体"/>
          <w:sz w:val="24"/>
        </w:rPr>
        <w:t>包含如下附件</w:t>
      </w:r>
      <w:r>
        <w:rPr>
          <w:sz w:val="24"/>
        </w:rPr>
        <w:t>...... （宋体、小四）</w:t>
      </w: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</w:p>
    <w:p>
      <w:pPr>
        <w:adjustRightInd w:val="0"/>
        <w:snapToGrid w:val="0"/>
        <w:spacing w:before="78" w:beforeLines="25" w:after="78" w:afterLines="25" w:line="312" w:lineRule="auto"/>
        <w:ind w:firstLine="480"/>
        <w:rPr>
          <w:sz w:val="24"/>
        </w:rPr>
      </w:pPr>
    </w:p>
    <w:p>
      <w:pPr>
        <w:adjustRightInd w:val="0"/>
        <w:snapToGrid w:val="0"/>
        <w:spacing w:before="78" w:beforeLines="25" w:after="78" w:afterLines="25" w:line="312" w:lineRule="auto"/>
        <w:rPr>
          <w:b/>
          <w:sz w:val="24"/>
        </w:rPr>
      </w:pPr>
      <w:r>
        <w:rPr>
          <w:rFonts w:hAnsi="宋体"/>
          <w:color w:val="0000FF"/>
          <w:sz w:val="24"/>
          <w:lang w:val="zh-CN"/>
        </w:rPr>
        <w:t>（空格键、小四）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Ansi="宋体"/>
          <w:color w:val="0000FF"/>
          <w:sz w:val="24"/>
          <w:lang w:val="zh-CN"/>
        </w:rPr>
      </w:pPr>
      <w:r>
        <w:rPr>
          <w:b/>
          <w:sz w:val="24"/>
        </w:rPr>
        <w:t>（案例使用说明字数：****）</w:t>
      </w:r>
      <w:r>
        <w:rPr>
          <w:rFonts w:hAnsi="宋体"/>
          <w:color w:val="0000FF"/>
          <w:sz w:val="24"/>
          <w:lang w:val="zh-CN"/>
        </w:rPr>
        <w:t>（宋体、加粗、小四、缩</w:t>
      </w:r>
      <w:r>
        <w:rPr>
          <w:color w:val="0000FF"/>
          <w:sz w:val="24"/>
          <w:lang w:val="zh-CN"/>
        </w:rPr>
        <w:t>2</w:t>
      </w:r>
      <w:r>
        <w:rPr>
          <w:rFonts w:hAnsi="宋体"/>
          <w:color w:val="0000FF"/>
          <w:sz w:val="24"/>
          <w:lang w:val="zh-CN"/>
        </w:rPr>
        <w:t>字符）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="79" w:afterLines="25" w:afterAutospacing="0" w:line="312" w:lineRule="auto"/>
        <w:textAlignment w:val="auto"/>
        <w:rPr>
          <w:rFonts w:hint="eastAsia"/>
          <w:b/>
          <w:bCs w:val="0"/>
          <w:color w:val="auto"/>
          <w:sz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79" w:beforeLines="25" w:beforeAutospacing="0" w:after="79" w:afterLines="25" w:afterAutospacing="0" w:line="312" w:lineRule="auto"/>
        <w:textAlignment w:val="auto"/>
        <w:rPr>
          <w:rFonts w:hint="eastAsia" w:hAnsi="宋体"/>
          <w:color w:val="0000FF"/>
          <w:sz w:val="24"/>
          <w:lang w:val="en-US" w:eastAsia="zh-CN"/>
        </w:rPr>
      </w:pPr>
      <w:r>
        <w:rPr>
          <w:rFonts w:hint="eastAsia"/>
          <w:b/>
          <w:bCs w:val="0"/>
          <w:color w:val="auto"/>
          <w:sz w:val="24"/>
          <w:lang w:val="en-US" w:eastAsia="zh-CN"/>
        </w:rPr>
        <w:t>参考文献</w:t>
      </w:r>
      <w:r>
        <w:rPr>
          <w:rFonts w:hint="eastAsia" w:hAnsi="宋体"/>
          <w:color w:val="0000FF"/>
          <w:sz w:val="24"/>
          <w:lang w:val="en-US" w:eastAsia="zh-CN"/>
        </w:rPr>
        <w:t>（宋体、加粗、小四）</w:t>
      </w:r>
    </w:p>
    <w:p>
      <w:pPr>
        <w:adjustRightInd w:val="0"/>
        <w:snapToGrid w:val="0"/>
        <w:spacing w:before="78" w:beforeLines="25" w:after="78" w:afterLines="25" w:line="240" w:lineRule="auto"/>
        <w:ind w:firstLine="480" w:firstLineChars="200"/>
        <w:rPr>
          <w:rFonts w:hint="default" w:hAnsi="宋体"/>
          <w:color w:val="0000FF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[1]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作者. 题名[J]. 期刊名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年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卷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(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期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>)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: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起止页码.</w:t>
      </w:r>
      <w:r>
        <w:rPr>
          <w:rFonts w:hint="default" w:hAnsi="宋体"/>
          <w:color w:val="0000FF"/>
          <w:sz w:val="24"/>
          <w:lang w:val="en-US" w:eastAsia="zh-CN"/>
        </w:rPr>
        <w:t xml:space="preserve"> （宋体、小四、行距1</w:t>
      </w:r>
      <w:r>
        <w:rPr>
          <w:rFonts w:hint="eastAsia" w:hAnsi="宋体"/>
          <w:color w:val="0000FF"/>
          <w:sz w:val="24"/>
          <w:lang w:val="en-US" w:eastAsia="zh-CN"/>
        </w:rPr>
        <w:t>、半角</w:t>
      </w:r>
      <w:r>
        <w:rPr>
          <w:rFonts w:hint="default" w:hAnsi="宋体"/>
          <w:color w:val="0000FF"/>
          <w:sz w:val="24"/>
          <w:lang w:val="en-US" w:eastAsia="zh-CN"/>
        </w:rPr>
        <w:t>）</w:t>
      </w:r>
    </w:p>
    <w:p>
      <w:pPr>
        <w:adjustRightInd w:val="0"/>
        <w:snapToGrid w:val="0"/>
        <w:spacing w:before="78" w:beforeLines="25" w:after="78" w:afterLines="25" w:line="240" w:lineRule="auto"/>
        <w:ind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default" w:ascii="Times New Roman" w:hAnsi="Times New Roman" w:eastAsia="宋体" w:cs="Times New Roman"/>
          <w:sz w:val="24"/>
          <w:lang w:val="en-US" w:eastAsia="zh-CN"/>
        </w:rPr>
        <w:t>[2]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著者. 书名[M]. 出版地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: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出版者</w:t>
      </w: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,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 xml:space="preserve">出版年. 起止页码. </w:t>
      </w:r>
    </w:p>
    <w:p>
      <w:pPr>
        <w:adjustRightInd w:val="0"/>
        <w:snapToGrid w:val="0"/>
        <w:spacing w:before="78" w:beforeLines="25" w:after="78" w:afterLines="25" w:line="240" w:lineRule="auto"/>
        <w:ind w:firstLine="480" w:firstLineChars="200"/>
        <w:rPr>
          <w:rFonts w:hint="default" w:ascii="Times New Roman" w:hAnsi="Times New Roman" w:eastAsia="宋体" w:cs="Times New Roman"/>
          <w:sz w:val="24"/>
          <w:lang w:val="en-US" w:eastAsia="zh-CN"/>
        </w:rPr>
      </w:pPr>
      <w:r>
        <w:rPr>
          <w:rFonts w:hint="eastAsia" w:ascii="Times New Roman" w:hAnsi="Times New Roman" w:eastAsia="宋体" w:cs="Times New Roman"/>
          <w:sz w:val="24"/>
          <w:lang w:val="en-US" w:eastAsia="zh-CN"/>
        </w:rPr>
        <w:t xml:space="preserve">[3] </w:t>
      </w:r>
      <w:r>
        <w:rPr>
          <w:rFonts w:hint="default" w:ascii="Times New Roman" w:hAnsi="Times New Roman" w:eastAsia="宋体" w:cs="Times New Roman"/>
          <w:sz w:val="24"/>
          <w:lang w:val="en-US" w:eastAsia="zh-CN"/>
        </w:rPr>
        <w:t>作者. 题名[EB/OL].(发表日期). [引用日期]. 网址.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textAlignment w:val="auto"/>
        <w:rPr>
          <w:rFonts w:hAnsi="宋体"/>
          <w:b/>
          <w:bCs/>
          <w:color w:val="0000FF"/>
          <w:sz w:val="24"/>
          <w:lang w:val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幼圆">
    <w:altName w:val="宋体-简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宋体-简">
    <w:panose1 w:val="0201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WAAAAZHJzL1BLAQIUABQAAAAIAIdO4kCzSVju0AAAAAUBAAAPAAAAAAAAAAEAIAAAADgAAABk&#10;cnMvZG93bnJldi54bWxQSwECFAAUAAAACACHTuJAa4X5+zECAABhBAAADgAAAAAAAAABACAAAAA1&#10;AQAAZHJzL2Uyb0RvYy54bWx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single" w:color="auto" w:sz="4" w:space="1"/>
      </w:pBdr>
      <w:rPr>
        <w:rFonts w:hint="default" w:eastAsia="宋体"/>
        <w:lang w:val="en-US" w:eastAsia="zh-CN"/>
      </w:rPr>
    </w:pPr>
    <w:r>
      <w:rPr>
        <w:rFonts w:hint="eastAsia"/>
      </w:rPr>
      <w:t>高</w:t>
    </w:r>
    <w:r>
      <w:rPr>
        <w:rFonts w:hint="eastAsia"/>
        <w:lang w:val="en-US" w:eastAsia="zh-Hans"/>
      </w:rPr>
      <w:t>等学</w:t>
    </w:r>
    <w:r>
      <w:rPr>
        <w:rFonts w:hint="eastAsia"/>
      </w:rPr>
      <w:t>校电子商务与数字经济案例中心</w:t>
    </w:r>
    <w:r>
      <w:rPr>
        <w:rFonts w:hint="eastAsia"/>
        <w:lang w:val="en-US" w:eastAsia="zh-CN"/>
      </w:rPr>
      <w:t xml:space="preserve">                                        </w:t>
    </w:r>
    <w:r>
      <w:rPr>
        <w:rFonts w:hint="default"/>
        <w:lang w:eastAsia="zh-CN"/>
      </w:rPr>
      <w:t xml:space="preserve">      </w:t>
    </w:r>
    <w:r>
      <w:rPr>
        <w:rFonts w:hint="eastAsia"/>
        <w:lang w:val="en-US" w:eastAsia="zh-CN"/>
      </w:rPr>
      <w:t>案例使用说明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I0ZDRkOTc5NmE4NDMyMzJiMjlhN2Y1ZTI1Mjc2NGUifQ=="/>
  </w:docVars>
  <w:rsids>
    <w:rsidRoot w:val="51E20161"/>
    <w:rsid w:val="20F90730"/>
    <w:rsid w:val="2DF7367B"/>
    <w:rsid w:val="51E20161"/>
    <w:rsid w:val="694E558A"/>
    <w:rsid w:val="7C1DE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731</Words>
  <Characters>839</Characters>
  <Lines>0</Lines>
  <Paragraphs>0</Paragraphs>
  <TotalTime>0</TotalTime>
  <ScaleCrop>false</ScaleCrop>
  <LinksUpToDate>false</LinksUpToDate>
  <CharactersWithSpaces>855</CharactersWithSpaces>
  <Application>WPS Office_4.6.1.7451_F1E327BC-269C-435d-A152-05C5408002CA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2021-09-26T16:23:00Z</dcterms:created>
  <dc:creator>yanhui</dc:creator>
  <cp:lastModifiedBy>Connie</cp:lastModifiedBy>
  <dcterms:modified xsi:type="dcterms:W3CDTF">2022-11-24T21:46:40Z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2052-4.6.1.7451</vt:lpwstr>
  </property>
  <property fmtid="{D5CDD505-2E9C-101B-9397-08002B2CF9AE}" pid="3" name="ICV">
    <vt:lpwstr>04D3CE3A5EE84C3EBA1C6DD4F8D166A8</vt:lpwstr>
  </property>
</Properties>
</file>